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E2528F">
      <w:pPr>
        <w:pBdr>
          <w:top w:val="nil"/>
          <w:left w:val="nil"/>
          <w:bottom w:val="nil"/>
          <w:right w:val="nil"/>
          <w:between w:val="nil"/>
          <w:bar w:val="nil"/>
        </w:pBdr>
        <w:ind w:left="2127" w:right="-285"/>
        <w:jc w:val="both"/>
        <w:rPr>
          <w:rFonts w:eastAsia="Arial Unicode MS" w:cs="Arial Unicode MS"/>
          <w:color w:val="000000"/>
          <w:sz w:val="20"/>
          <w:szCs w:val="20"/>
          <w:u w:color="000000"/>
          <w:bdr w:val="nil"/>
        </w:rPr>
      </w:pPr>
      <w:bookmarkStart w:id="0" w:name="_Hlk97660673"/>
      <w:r>
        <w:rPr>
          <w:color w:val="000000"/>
          <w:sz w:val="20"/>
          <w:u w:color="000000"/>
          <w:bdr w:val="nil"/>
        </w:rPr>
        <w:tab/>
        <w:t xml:space="preserve">  </w:t>
      </w:r>
    </w:p>
    <w:p w14:paraId="73919DAA" w14:textId="77777777" w:rsidR="00915417" w:rsidRDefault="00915417" w:rsidP="00E2528F">
      <w:pPr>
        <w:pBdr>
          <w:top w:val="nil"/>
          <w:left w:val="nil"/>
          <w:bottom w:val="nil"/>
          <w:right w:val="nil"/>
          <w:between w:val="nil"/>
          <w:bar w:val="nil"/>
        </w:pBdr>
        <w:ind w:left="2127" w:right="-285"/>
        <w:jc w:val="both"/>
        <w:rPr>
          <w:rFonts w:eastAsia="Arial Unicode MS" w:cs="Arial Unicode MS"/>
          <w:color w:val="000000"/>
          <w:sz w:val="20"/>
          <w:szCs w:val="20"/>
          <w:u w:color="000000"/>
          <w:bdr w:val="nil"/>
        </w:rPr>
      </w:pPr>
    </w:p>
    <w:bookmarkEnd w:id="0"/>
    <w:p w14:paraId="5A9323CA" w14:textId="77777777" w:rsidR="00BD3494" w:rsidRPr="00AF3072" w:rsidRDefault="00BD3494" w:rsidP="00E2528F">
      <w:pPr>
        <w:ind w:left="2127" w:right="-285"/>
        <w:jc w:val="both"/>
      </w:pPr>
      <w:r>
        <w:t>Comunicado de prensa n.º 27/2024</w:t>
      </w:r>
    </w:p>
    <w:p w14:paraId="59D0E56E" w14:textId="77777777" w:rsidR="00BD3494" w:rsidRPr="00AF3072" w:rsidRDefault="00BD3494" w:rsidP="00E2528F">
      <w:pPr>
        <w:ind w:left="2127" w:right="-285"/>
        <w:jc w:val="both"/>
        <w:rPr>
          <w:sz w:val="2"/>
          <w:szCs w:val="2"/>
        </w:rPr>
      </w:pPr>
    </w:p>
    <w:p w14:paraId="3DFEA020" w14:textId="77777777" w:rsidR="00BD3494" w:rsidRPr="00AF3072" w:rsidRDefault="00BD3494" w:rsidP="00E2528F">
      <w:pPr>
        <w:ind w:left="2127" w:right="-285"/>
        <w:jc w:val="both"/>
        <w:rPr>
          <w:b/>
          <w:bCs/>
          <w:sz w:val="10"/>
          <w:szCs w:val="10"/>
        </w:rPr>
      </w:pPr>
    </w:p>
    <w:p w14:paraId="6C51CC6E" w14:textId="77777777" w:rsidR="00BD3494" w:rsidRPr="00BD3494" w:rsidRDefault="00BD3494" w:rsidP="00E2528F">
      <w:pPr>
        <w:ind w:left="2127" w:right="-285"/>
        <w:jc w:val="both"/>
        <w:rPr>
          <w:b/>
          <w:bCs/>
          <w:sz w:val="27"/>
          <w:szCs w:val="27"/>
        </w:rPr>
      </w:pPr>
      <w:r>
        <w:rPr>
          <w:b/>
          <w:sz w:val="27"/>
        </w:rPr>
        <w:t>Máquinas agrícolas: la caída de las exportaciones frena la producción italiana</w:t>
      </w:r>
    </w:p>
    <w:p w14:paraId="772EEA36" w14:textId="77777777" w:rsidR="00BD3494" w:rsidRDefault="00BD3494" w:rsidP="00E2528F">
      <w:pPr>
        <w:ind w:left="2127" w:right="-285"/>
        <w:jc w:val="both"/>
        <w:rPr>
          <w:b/>
          <w:bCs/>
          <w:i/>
          <w:iCs/>
          <w:sz w:val="23"/>
          <w:szCs w:val="23"/>
        </w:rPr>
      </w:pPr>
      <w:r>
        <w:rPr>
          <w:b/>
          <w:i/>
          <w:sz w:val="23"/>
        </w:rPr>
        <w:t>El valor global de la producción italiana de tecnologías para la agricultura y la jardinería cerrará el año con un descenso del 19,5 % respecto al mismo período de 2023, situándose en 13.200 millones de euros. La caída se debe a la contracción de la demanda interna, pero, sobre todo, a la desaceleración de los mercados extranjeros, que contribuyen de manera significativa al volumen de ventas de las empresas agromecánicas italianas. FederUnacoma: para la recuperación, habrá que esperar hasta el segundo semestre de 2025.</w:t>
      </w:r>
    </w:p>
    <w:p w14:paraId="3174EC93" w14:textId="77777777" w:rsidR="00BD3494" w:rsidRPr="00AF3072" w:rsidRDefault="00BD3494" w:rsidP="00E2528F">
      <w:pPr>
        <w:ind w:left="2127" w:right="-285"/>
        <w:jc w:val="both"/>
        <w:rPr>
          <w:b/>
          <w:bCs/>
          <w:i/>
          <w:iCs/>
          <w:sz w:val="23"/>
          <w:szCs w:val="23"/>
        </w:rPr>
      </w:pPr>
    </w:p>
    <w:p w14:paraId="5E9E0D35" w14:textId="5C1473E5" w:rsidR="00BD3494" w:rsidRPr="00BD3494" w:rsidRDefault="00BD3494" w:rsidP="00E2528F">
      <w:pPr>
        <w:ind w:left="2127" w:right="-285"/>
        <w:jc w:val="both"/>
        <w:rPr>
          <w:sz w:val="22"/>
          <w:szCs w:val="22"/>
        </w:rPr>
      </w:pPr>
      <w:r>
        <w:rPr>
          <w:sz w:val="22"/>
        </w:rPr>
        <w:t xml:space="preserve">El clima de incertidumbre en los mercados extranjeros y en el mercado italiano se refleja en la evolución de la producción italiana de tecnologías para la agricultura, que cerrará </w:t>
      </w:r>
      <w:r w:rsidR="00E525C9">
        <w:rPr>
          <w:sz w:val="22"/>
        </w:rPr>
        <w:t xml:space="preserve">el </w:t>
      </w:r>
      <w:r>
        <w:rPr>
          <w:sz w:val="22"/>
        </w:rPr>
        <w:t>2024 con un descenso significativo respecto a 2023. Las previsiones de la asociación de fabricantes FederUnacoma indican una disminución del 19,5 %, por un valor total de 13.200 millones de euros, es decir, 3.200 millones menos que el año anterior. El dato relativo a la producción de medios mecánicos para la agricultura –se ha explicado esta tarde en Bolonia durante la rueda de prensa de presentación de EIMA International organizada por FederUnacoma– se ha obtenido sumando los datos correspondientes a los diferentes tipos de máquinas. Los tractores representan algo más de 2.000 millones de euros (-25 % respecto a 2023), los tractores incompletos y las piezas de repuesto, alrededor de 1.000 millones (-28,6 %), las máquinas operadoras y los equipos, 6.200 millones (-16,5 %), los componentes, 3.300 millones (-17,5 %) y, por último, las máquinas de jardinería y cuidado del verde, 700 millones, lo que supone una disminución del 22,2 % con respecto al año anterior.</w:t>
      </w:r>
    </w:p>
    <w:p w14:paraId="706D866A" w14:textId="51B63BE3" w:rsidR="00BD3494" w:rsidRPr="00BD3494" w:rsidRDefault="00BD3494" w:rsidP="00E2528F">
      <w:pPr>
        <w:ind w:left="2127" w:right="-285"/>
        <w:jc w:val="both"/>
        <w:rPr>
          <w:sz w:val="22"/>
          <w:szCs w:val="22"/>
        </w:rPr>
      </w:pPr>
      <w:r>
        <w:rPr>
          <w:sz w:val="22"/>
        </w:rPr>
        <w:t xml:space="preserve">La caída de la demanda interna ha influido en la contracción del volumen de ventas del primer semestre del año. El mercado italiano de tecnologías para el sector primario –que en 2023 cerró con un pasivo del 12,9 % para los tractores y sufrió contracciones también para otro tipo de máquinas– registró caídas aún más pronunciadas en los </w:t>
      </w:r>
      <w:r w:rsidR="00DF13AB">
        <w:rPr>
          <w:sz w:val="22"/>
        </w:rPr>
        <w:t>diez</w:t>
      </w:r>
      <w:r>
        <w:rPr>
          <w:sz w:val="22"/>
        </w:rPr>
        <w:t xml:space="preserve"> meses de enero a </w:t>
      </w:r>
      <w:r w:rsidR="000D0E44">
        <w:rPr>
          <w:sz w:val="22"/>
        </w:rPr>
        <w:t>octubre</w:t>
      </w:r>
      <w:r>
        <w:rPr>
          <w:sz w:val="22"/>
        </w:rPr>
        <w:t xml:space="preserve"> con un descenso de las matriculaciones de tractores del -1</w:t>
      </w:r>
      <w:r w:rsidR="00BF3154">
        <w:rPr>
          <w:sz w:val="22"/>
        </w:rPr>
        <w:t>4</w:t>
      </w:r>
      <w:r>
        <w:rPr>
          <w:sz w:val="22"/>
        </w:rPr>
        <w:t>,6 %, de cosechadoras del -31,</w:t>
      </w:r>
      <w:r w:rsidR="00BF3154">
        <w:rPr>
          <w:sz w:val="22"/>
        </w:rPr>
        <w:t>5</w:t>
      </w:r>
      <w:r>
        <w:rPr>
          <w:sz w:val="22"/>
        </w:rPr>
        <w:t> %, de tractores con plataforma de carga del -18,</w:t>
      </w:r>
      <w:r w:rsidR="00BF3154">
        <w:rPr>
          <w:sz w:val="22"/>
        </w:rPr>
        <w:t>2</w:t>
      </w:r>
      <w:r>
        <w:rPr>
          <w:sz w:val="22"/>
        </w:rPr>
        <w:t> %, de manipuladores telescópicos del -1</w:t>
      </w:r>
      <w:r w:rsidR="00BF3154">
        <w:rPr>
          <w:sz w:val="22"/>
        </w:rPr>
        <w:t>4,9</w:t>
      </w:r>
      <w:r>
        <w:rPr>
          <w:sz w:val="22"/>
        </w:rPr>
        <w:t> % y de remolques del -2,</w:t>
      </w:r>
      <w:r w:rsidR="00BF3154">
        <w:rPr>
          <w:sz w:val="22"/>
        </w:rPr>
        <w:t>4</w:t>
      </w:r>
      <w:r>
        <w:rPr>
          <w:sz w:val="22"/>
        </w:rPr>
        <w:t xml:space="preserve"> %. Los datos relativos a las ventas de máquinas y equipos de jardinería, elaborados por Comagarden </w:t>
      </w:r>
      <w:r w:rsidR="00E525C9">
        <w:rPr>
          <w:sz w:val="22"/>
        </w:rPr>
        <w:t xml:space="preserve">a partir </w:t>
      </w:r>
      <w:r>
        <w:rPr>
          <w:sz w:val="22"/>
        </w:rPr>
        <w:t>de los análisis de Morgan y referidos al mes de septiembre, son ligeramente más positivos (+1,2 %), pero no compensan el fuerte pasivo registrado por el sector de la jardinería en el bienio 2022-2023.</w:t>
      </w:r>
    </w:p>
    <w:p w14:paraId="679485BF" w14:textId="77777777" w:rsidR="00E2528F" w:rsidRDefault="00BD3494" w:rsidP="00E2528F">
      <w:pPr>
        <w:ind w:left="2127" w:right="-285"/>
        <w:jc w:val="both"/>
        <w:rPr>
          <w:sz w:val="22"/>
        </w:rPr>
      </w:pPr>
      <w:r>
        <w:rPr>
          <w:sz w:val="22"/>
        </w:rPr>
        <w:t>Pero la caída de la producción italiana de máquinas para la agricultura se vio afectada, sobre todo, por la contracción de la demanda externa, dada la fuerte propensión de las empresas italianas a exportar a los mercados globales. En los seis primeros meses del año –se ha explicado en la rueda de prensa– las exportaciones de tractores, de componentes de tractores y de otras máquinas agrícolas (excluidos los componentes y la jardinería) cayeron globalmente un 9 %, con un valor de 3.408 millones de euros, aunque se logró mantener una balanza comercial positiva de 2.200 millones. Estados Unidos, Francia y Alemania se han confirmado, por este orden, como los principales países de destino de las tecnologías agrícolas “made in Italy”, seguidos de Turquía, que ocupa el cuarto lugar. No se esperan mejoras en el balance de fin de año, como se desprende también del seguimiento que FederUnacoma realiza sistemáticamente de las empresas asociadas. “En el tercer trimestre de este año –ha observado la presidenta de FederUnacoma, Mariateresa Maschio– el 70 % de las empresas del sector registraron una evolución del volumen de ventas peor que en el mismo período del año pasado con un predominio de empresas que presentan una disminución comprendida entre el 11 y el 20 %. Según el 60 % de los fabricantes encuestados, a partir del segundo semestre de 2025 podría haber una inversión de tendencia”.</w:t>
      </w:r>
    </w:p>
    <w:p w14:paraId="57C14F88" w14:textId="77777777" w:rsidR="00E2528F" w:rsidRDefault="00E2528F">
      <w:pPr>
        <w:rPr>
          <w:sz w:val="22"/>
        </w:rPr>
      </w:pPr>
      <w:r>
        <w:rPr>
          <w:sz w:val="22"/>
        </w:rPr>
        <w:br w:type="page"/>
      </w:r>
    </w:p>
    <w:p w14:paraId="2E14FC7C" w14:textId="77777777" w:rsidR="00E2528F" w:rsidRDefault="00E2528F" w:rsidP="00E2528F">
      <w:pPr>
        <w:ind w:left="2127" w:right="-285"/>
        <w:jc w:val="both"/>
        <w:rPr>
          <w:sz w:val="22"/>
        </w:rPr>
      </w:pPr>
    </w:p>
    <w:p w14:paraId="7626DFFC" w14:textId="77777777" w:rsidR="00E2528F" w:rsidRDefault="00E2528F" w:rsidP="00E2528F">
      <w:pPr>
        <w:ind w:left="2127" w:right="-285"/>
        <w:jc w:val="both"/>
        <w:rPr>
          <w:sz w:val="22"/>
        </w:rPr>
      </w:pPr>
    </w:p>
    <w:p w14:paraId="4C6BB690" w14:textId="77777777" w:rsidR="00E2528F" w:rsidRDefault="00E2528F" w:rsidP="00E2528F">
      <w:pPr>
        <w:ind w:left="2127" w:right="-285"/>
        <w:jc w:val="both"/>
        <w:rPr>
          <w:sz w:val="22"/>
        </w:rPr>
      </w:pPr>
    </w:p>
    <w:p w14:paraId="34CA7A62" w14:textId="47DBD684" w:rsidR="00BD3494" w:rsidRPr="00BD3494" w:rsidRDefault="00BD3494" w:rsidP="00E2528F">
      <w:pPr>
        <w:ind w:left="2127" w:right="-285"/>
        <w:jc w:val="both"/>
        <w:rPr>
          <w:sz w:val="22"/>
          <w:szCs w:val="22"/>
        </w:rPr>
      </w:pPr>
      <w:r>
        <w:rPr>
          <w:sz w:val="22"/>
        </w:rPr>
        <w:t xml:space="preserve"> “La recuperación podría verse favorecida por una estabilización del marco económico global, pero –ha concluido la presidente de FederUnacoma– en lo que respecta a la demanda interna, mucho depende de la aplicación del sistema de incentivos a la compra de maquinaria agrícola de última generación”.</w:t>
      </w:r>
    </w:p>
    <w:p w14:paraId="56C5CE67" w14:textId="77777777" w:rsidR="00BD3494" w:rsidRPr="00DB1189" w:rsidRDefault="00BD3494" w:rsidP="00E2528F">
      <w:pPr>
        <w:ind w:left="2127" w:right="-285"/>
        <w:jc w:val="both"/>
        <w:rPr>
          <w:sz w:val="10"/>
          <w:szCs w:val="10"/>
        </w:rPr>
      </w:pPr>
    </w:p>
    <w:p w14:paraId="6EF0B5AC" w14:textId="77777777" w:rsidR="00E62EF9" w:rsidRDefault="00E62EF9" w:rsidP="00E2528F">
      <w:pPr>
        <w:ind w:left="2127" w:right="-285"/>
        <w:jc w:val="both"/>
        <w:rPr>
          <w:sz w:val="23"/>
          <w:szCs w:val="23"/>
        </w:rPr>
      </w:pPr>
    </w:p>
    <w:p w14:paraId="23768298" w14:textId="77777777" w:rsidR="00E62EF9" w:rsidRPr="00E249E4" w:rsidRDefault="00E62EF9" w:rsidP="00E2528F">
      <w:pPr>
        <w:ind w:left="2127" w:right="-285"/>
        <w:jc w:val="both"/>
        <w:rPr>
          <w:sz w:val="23"/>
          <w:szCs w:val="23"/>
        </w:rPr>
      </w:pPr>
      <w:r>
        <w:rPr>
          <w:b/>
          <w:i/>
          <w:sz w:val="23"/>
        </w:rPr>
        <w:t>Bolonia, 5 de noviembre de 2024</w:t>
      </w:r>
    </w:p>
    <w:p w14:paraId="372C8417" w14:textId="26CF64FA" w:rsidR="00774B84" w:rsidRPr="00915417" w:rsidRDefault="00774B84" w:rsidP="00E2528F">
      <w:pPr>
        <w:pBdr>
          <w:top w:val="nil"/>
          <w:left w:val="nil"/>
          <w:bottom w:val="nil"/>
          <w:right w:val="nil"/>
          <w:between w:val="nil"/>
          <w:bar w:val="nil"/>
        </w:pBdr>
        <w:tabs>
          <w:tab w:val="left" w:pos="2127"/>
        </w:tabs>
        <w:ind w:right="-285"/>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7DA2C" w14:textId="77777777" w:rsidR="00B8126C" w:rsidRDefault="00B8126C">
      <w:r>
        <w:separator/>
      </w:r>
    </w:p>
  </w:endnote>
  <w:endnote w:type="continuationSeparator" w:id="0">
    <w:p w14:paraId="09A5135C" w14:textId="77777777" w:rsidR="00B8126C" w:rsidRDefault="00B8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9D977" w14:textId="77777777" w:rsidR="00B8126C" w:rsidRDefault="00B8126C">
      <w:r>
        <w:separator/>
      </w:r>
    </w:p>
  </w:footnote>
  <w:footnote w:type="continuationSeparator" w:id="0">
    <w:p w14:paraId="3D37F0A4" w14:textId="77777777" w:rsidR="00B8126C" w:rsidRDefault="00B81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2"/>
    <w:rsid w:val="00072B4D"/>
    <w:rsid w:val="000867E4"/>
    <w:rsid w:val="000C42E5"/>
    <w:rsid w:val="000D0E44"/>
    <w:rsid w:val="00132C83"/>
    <w:rsid w:val="001E4BD1"/>
    <w:rsid w:val="001F54A2"/>
    <w:rsid w:val="002D6176"/>
    <w:rsid w:val="003351BA"/>
    <w:rsid w:val="0038239F"/>
    <w:rsid w:val="00392F74"/>
    <w:rsid w:val="003B7256"/>
    <w:rsid w:val="004043E1"/>
    <w:rsid w:val="00455C8D"/>
    <w:rsid w:val="006E2603"/>
    <w:rsid w:val="00725234"/>
    <w:rsid w:val="00774B84"/>
    <w:rsid w:val="008A4ED0"/>
    <w:rsid w:val="00915417"/>
    <w:rsid w:val="00A676B9"/>
    <w:rsid w:val="00AE5CFA"/>
    <w:rsid w:val="00B537C4"/>
    <w:rsid w:val="00B8126C"/>
    <w:rsid w:val="00B83EF9"/>
    <w:rsid w:val="00BD3494"/>
    <w:rsid w:val="00BE0634"/>
    <w:rsid w:val="00BF3154"/>
    <w:rsid w:val="00C07741"/>
    <w:rsid w:val="00CF1420"/>
    <w:rsid w:val="00CF5BC8"/>
    <w:rsid w:val="00D65F12"/>
    <w:rsid w:val="00DC159E"/>
    <w:rsid w:val="00DD36A6"/>
    <w:rsid w:val="00DF13AB"/>
    <w:rsid w:val="00E2528F"/>
    <w:rsid w:val="00E525C9"/>
    <w:rsid w:val="00E62EF9"/>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3766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4418</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7</cp:revision>
  <cp:lastPrinted>2024-11-04T18:13:00Z</cp:lastPrinted>
  <dcterms:created xsi:type="dcterms:W3CDTF">2024-11-05T12:33:00Z</dcterms:created>
  <dcterms:modified xsi:type="dcterms:W3CDTF">2024-11-05T14:06:00Z</dcterms:modified>
</cp:coreProperties>
</file>